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29" w:rsidRPr="003B5862" w:rsidRDefault="00327429" w:rsidP="00F0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B5862">
        <w:rPr>
          <w:rFonts w:ascii="Times New Roman" w:hAnsi="Times New Roman"/>
          <w:b/>
          <w:u w:val="single"/>
        </w:rPr>
        <w:t>ПАСПОРТ УСЛУГИ (ПРОЦЕССА</w:t>
      </w:r>
      <w:r w:rsidRPr="003B5862">
        <w:rPr>
          <w:rFonts w:ascii="Times New Roman" w:hAnsi="Times New Roman"/>
          <w:u w:val="single"/>
        </w:rPr>
        <w:t xml:space="preserve">) </w:t>
      </w:r>
      <w:r w:rsidRPr="003B5862">
        <w:rPr>
          <w:rFonts w:ascii="Times New Roman" w:hAnsi="Times New Roman"/>
          <w:b/>
          <w:u w:val="single"/>
        </w:rPr>
        <w:t>ТЕХНОЛОГИЧЕСКОГО ПРИСОЕДИНЕНИЯ К ЭЛЕКТРИЧЕСКИМ СЕТЯМ СЕТЕВОЙ ОРГАНИЗАЦИИ энергопринимающих устройств юридических лиц и индивидуальных предпринимателей</w:t>
      </w:r>
      <w:r w:rsidRPr="003B5862">
        <w:rPr>
          <w:rFonts w:ascii="Times New Roman" w:hAnsi="Times New Roman"/>
          <w:b/>
          <w:u w:val="single"/>
        </w:rPr>
        <w:br/>
        <w:t xml:space="preserve"> с максимальной мощностью свыше 670 кВт</w:t>
      </w:r>
    </w:p>
    <w:p w:rsidR="00327429" w:rsidRPr="003B5862" w:rsidRDefault="00327429" w:rsidP="00F0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327429" w:rsidRPr="003B5862" w:rsidRDefault="00327429" w:rsidP="003B5862">
      <w:pPr>
        <w:jc w:val="center"/>
        <w:rPr>
          <w:rFonts w:ascii="Times New Roman" w:hAnsi="Times New Roman"/>
        </w:rPr>
      </w:pPr>
      <w:r w:rsidRPr="003B5862">
        <w:rPr>
          <w:rFonts w:ascii="Times New Roman" w:hAnsi="Times New Roman"/>
        </w:rPr>
        <w:t>АО «Самарская Кабельная Компания» (далее АО «СКК»)</w:t>
      </w:r>
    </w:p>
    <w:p w:rsidR="00327429" w:rsidRPr="003B5862" w:rsidRDefault="00327429" w:rsidP="00650FC9">
      <w:pPr>
        <w:pStyle w:val="Heading1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327429" w:rsidRPr="003B5862" w:rsidRDefault="00327429" w:rsidP="00F0733C">
      <w:pPr>
        <w:pStyle w:val="Heading1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3B5862">
        <w:rPr>
          <w:rFonts w:ascii="Times New Roman" w:hAnsi="Times New Roman"/>
          <w:color w:val="auto"/>
          <w:sz w:val="22"/>
          <w:szCs w:val="22"/>
        </w:rPr>
        <w:t xml:space="preserve"> ТЕХНОЛОГИЧЕСКОЕ ПРИСОЕДИНЕНИЕ К ЭЛЕКТРИЧЕСКИМ СЕТЯМ СЕТЕВОЙ ОРГАНИЗАЦИИ</w:t>
      </w:r>
    </w:p>
    <w:p w:rsidR="00327429" w:rsidRPr="003B5862" w:rsidRDefault="0032742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B5862">
        <w:rPr>
          <w:rFonts w:ascii="Times New Roman" w:hAnsi="Times New Roman"/>
          <w:b/>
        </w:rPr>
        <w:t>энергопринимающих устройств юридических лиц и индивидуальных предпринимателей</w:t>
      </w:r>
      <w:r w:rsidRPr="003B5862">
        <w:rPr>
          <w:rFonts w:ascii="Times New Roman" w:hAnsi="Times New Roman"/>
          <w:b/>
        </w:rPr>
        <w:br/>
        <w:t xml:space="preserve"> с максимальной мощностью свыше 670 кВт</w:t>
      </w:r>
    </w:p>
    <w:p w:rsidR="00327429" w:rsidRPr="003B5862" w:rsidRDefault="0032742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27429" w:rsidRPr="003B5862" w:rsidRDefault="00327429" w:rsidP="00650FC9">
      <w:pPr>
        <w:spacing w:after="0" w:line="240" w:lineRule="auto"/>
        <w:jc w:val="both"/>
        <w:rPr>
          <w:rFonts w:ascii="Times New Roman" w:hAnsi="Times New Roman"/>
        </w:rPr>
      </w:pPr>
      <w:r w:rsidRPr="003B5862">
        <w:rPr>
          <w:rFonts w:ascii="Times New Roman" w:hAnsi="Times New Roman"/>
          <w:b/>
        </w:rPr>
        <w:t xml:space="preserve">КРУГ ЗАЯВИТЕЛЕЙ: </w:t>
      </w:r>
      <w:r w:rsidRPr="003B5862">
        <w:rPr>
          <w:rFonts w:ascii="Times New Roman" w:hAnsi="Times New Roman"/>
        </w:rPr>
        <w:t xml:space="preserve">юридическое лицо или индивидуальный предприниматель (далее - заявитель) в целях технологического присоединения  по одному источнику энергоснабжения энергопринимающих устройств, максимальная мощность которых составляет свыше 670 кВт </w:t>
      </w:r>
    </w:p>
    <w:p w:rsidR="00327429" w:rsidRPr="003B5862" w:rsidRDefault="00327429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5862">
        <w:rPr>
          <w:rFonts w:ascii="Times New Roman" w:hAnsi="Times New Roman"/>
          <w:b/>
        </w:rPr>
        <w:t xml:space="preserve">РАЗМЕР ПЛАТЫ ЗА ПРЕДОСТАВЛЕНИЕ УСЛУГИ (ПРОЦЕССА) И ОСНОВАНИЕ ЕЕ ВЗИМАНИЯ: </w:t>
      </w:r>
      <w:r w:rsidRPr="003B5862">
        <w:rPr>
          <w:rFonts w:ascii="Times New Roman" w:hAnsi="Times New Roman"/>
        </w:rPr>
        <w:t>Размер платы за технологическое присоединение энергопринимающих устройств с максимальной мощностью свыше 670 кВт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</w:t>
      </w:r>
      <w:bookmarkStart w:id="0" w:name="_GoBack"/>
      <w:bookmarkEnd w:id="0"/>
      <w:r w:rsidRPr="003B5862">
        <w:rPr>
          <w:rFonts w:ascii="Times New Roman" w:hAnsi="Times New Roman"/>
        </w:rPr>
        <w:t>.</w:t>
      </w:r>
    </w:p>
    <w:p w:rsidR="00327429" w:rsidRPr="003B5862" w:rsidRDefault="00327429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5862">
        <w:rPr>
          <w:rFonts w:ascii="Times New Roman" w:hAnsi="Times New Roman"/>
          <w:b/>
        </w:rPr>
        <w:t>УСЛОВИЯ ОКАЗАНИЯ УСЛУГИ (ПРОЦЕССА):</w:t>
      </w:r>
      <w:r w:rsidRPr="003B5862">
        <w:rPr>
          <w:rFonts w:ascii="Times New Roman" w:hAnsi="Times New Roman"/>
        </w:rPr>
        <w:t xml:space="preserve"> намерение заявителя присоединить впервые вводимые в эксплуатацию, ранее присоединенные энергопринимающие устройства и объекты электроэнергетики,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327429" w:rsidRPr="003B5862" w:rsidRDefault="00327429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5862">
        <w:rPr>
          <w:rFonts w:ascii="Times New Roman" w:hAnsi="Times New Roman"/>
          <w:b/>
        </w:rPr>
        <w:t>РЕЗУЛЬТАТ ОКАЗАНИЯ УСЛУГИ (ПРОЦЕССА):</w:t>
      </w:r>
      <w:r w:rsidRPr="003B5862">
        <w:rPr>
          <w:rFonts w:ascii="Times New Roman" w:hAnsi="Times New Roman"/>
        </w:rPr>
        <w:t xml:space="preserve"> технологическое присоединения энергопринимающих устройств Заявителя.</w:t>
      </w:r>
    </w:p>
    <w:p w:rsidR="00327429" w:rsidRPr="003B5862" w:rsidRDefault="00327429" w:rsidP="00650F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3B5862">
        <w:rPr>
          <w:rFonts w:ascii="Times New Roman" w:hAnsi="Times New Roman"/>
          <w:b/>
        </w:rPr>
        <w:t xml:space="preserve">ОБЩИЙ СРОК ОКАЗАНИЯ УСЛУГИ (ПРОЦЕССА): </w:t>
      </w:r>
      <w:r w:rsidRPr="003B5862">
        <w:rPr>
          <w:rFonts w:ascii="Times New Roman" w:hAnsi="Times New Roman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5862">
          <w:rPr>
            <w:rFonts w:ascii="Times New Roman" w:hAnsi="Times New Roman"/>
          </w:rPr>
          <w:t>300 метров</w:t>
        </w:r>
      </w:smartTag>
      <w:r w:rsidRPr="003B5862">
        <w:rPr>
          <w:rFonts w:ascii="Times New Roman" w:hAnsi="Times New Roman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5862">
          <w:rPr>
            <w:rFonts w:ascii="Times New Roman" w:hAnsi="Times New Roman"/>
          </w:rPr>
          <w:t>500 метров</w:t>
        </w:r>
      </w:smartTag>
      <w:r w:rsidRPr="003B5862">
        <w:rPr>
          <w:rFonts w:ascii="Times New Roman" w:hAnsi="Times New Roman"/>
        </w:rPr>
        <w:t xml:space="preserve"> в сельской местности:</w:t>
      </w:r>
    </w:p>
    <w:p w:rsidR="00327429" w:rsidRPr="003B5862" w:rsidRDefault="00327429" w:rsidP="00650FC9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</w:rPr>
      </w:pPr>
      <w:r w:rsidRPr="003B5862">
        <w:rPr>
          <w:rFonts w:ascii="Times New Roman" w:hAnsi="Times New Roman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Pr="003B5862">
        <w:rPr>
          <w:rFonts w:ascii="Times New Roman" w:hAnsi="Times New Roman"/>
          <w:b/>
        </w:rPr>
        <w:t>1 год с даты заключения договора</w:t>
      </w:r>
      <w:r w:rsidRPr="003B5862">
        <w:rPr>
          <w:rFonts w:ascii="Times New Roman" w:hAnsi="Times New Roman"/>
        </w:rPr>
        <w:t>;</w:t>
      </w:r>
    </w:p>
    <w:p w:rsidR="00327429" w:rsidRPr="003B5862" w:rsidRDefault="00327429" w:rsidP="00650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B5862">
        <w:rPr>
          <w:rFonts w:ascii="Times New Roman" w:hAnsi="Times New Roman"/>
        </w:rPr>
        <w:t xml:space="preserve">При несоблюдении всех вышеуказанных условий – </w:t>
      </w:r>
      <w:r w:rsidRPr="003B5862">
        <w:rPr>
          <w:rFonts w:ascii="Times New Roman" w:hAnsi="Times New Roman"/>
          <w:b/>
        </w:rPr>
        <w:t>2 год с даты заключения договора</w:t>
      </w:r>
      <w:r w:rsidRPr="003B5862">
        <w:rPr>
          <w:rFonts w:ascii="Times New Roman" w:hAnsi="Times New Roman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327429" w:rsidRPr="003B5862" w:rsidRDefault="00327429" w:rsidP="00650FC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</w:rPr>
      </w:pPr>
    </w:p>
    <w:p w:rsidR="00327429" w:rsidRPr="003B5862" w:rsidRDefault="00327429" w:rsidP="00D679FC">
      <w:pPr>
        <w:spacing w:after="60" w:line="240" w:lineRule="auto"/>
        <w:jc w:val="both"/>
        <w:outlineLvl w:val="0"/>
        <w:rPr>
          <w:rFonts w:ascii="Times New Roman" w:hAnsi="Times New Roman"/>
          <w:b/>
        </w:rPr>
      </w:pPr>
      <w:r w:rsidRPr="003B5862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327429" w:rsidRPr="003B5862" w:rsidTr="00121F9E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327429" w:rsidRPr="003B5862" w:rsidRDefault="00327429" w:rsidP="00121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774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27429" w:rsidRPr="003B5862" w:rsidRDefault="00327429" w:rsidP="00121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27429" w:rsidRPr="003B5862" w:rsidRDefault="00327429" w:rsidP="00121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27429" w:rsidRPr="003B5862" w:rsidRDefault="00327429" w:rsidP="00121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27429" w:rsidRPr="003B5862" w:rsidRDefault="00327429" w:rsidP="00121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27429" w:rsidRPr="003B5862" w:rsidRDefault="00327429" w:rsidP="00121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327429" w:rsidRPr="003B5862" w:rsidRDefault="00327429" w:rsidP="00121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327429" w:rsidRPr="003B5862" w:rsidTr="00121F9E">
        <w:tc>
          <w:tcPr>
            <w:tcW w:w="167" w:type="pct"/>
            <w:vMerge w:val="restart"/>
            <w:tcBorders>
              <w:top w:val="double" w:sz="4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74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1.1.</w:t>
            </w:r>
            <w:r w:rsidRPr="003B5862">
              <w:rPr>
                <w:rFonts w:ascii="Times New Roman" w:hAnsi="Times New Roman"/>
                <w:lang w:eastAsia="ru-RU"/>
              </w:rPr>
              <w:t> Заявитель подает заявку на технологическое присоединение;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Пункты  8, 9, 10,12, 14 Правил технологического присоединения энергопринимающих устройств потребителей электрической энергии</w:t>
            </w:r>
            <w:r w:rsidRPr="003B5862">
              <w:rPr>
                <w:rStyle w:val="FootnoteReference"/>
                <w:rFonts w:ascii="Times New Roman" w:hAnsi="Times New Roman"/>
              </w:rPr>
              <w:footnoteReference w:id="1"/>
            </w:r>
            <w:r w:rsidRPr="003B5862">
              <w:rPr>
                <w:rFonts w:ascii="Times New Roman" w:hAnsi="Times New Roman"/>
              </w:rPr>
              <w:t>.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1.2</w:t>
            </w:r>
            <w:r w:rsidRPr="003B5862">
              <w:rPr>
                <w:rFonts w:ascii="Times New Roman" w:hAnsi="Times New Roman"/>
                <w:lang w:eastAsia="ru-RU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Уведомление в письменной форме направляется 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3B586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1.3. </w:t>
            </w:r>
            <w:r w:rsidRPr="003B5862">
              <w:rPr>
                <w:rFonts w:ascii="Times New Roman" w:hAnsi="Times New Roman"/>
                <w:lang w:eastAsia="ru-RU"/>
              </w:rPr>
              <w:t>Направление сетевой организацией копии заявки на рассмотрение системному оператору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vMerge w:val="restart"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74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2.1. </w:t>
            </w:r>
            <w:r w:rsidRPr="003B5862">
              <w:rPr>
                <w:rFonts w:ascii="Times New Roman" w:hAnsi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Уведомление в письменной форме направляется 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2.2.</w:t>
            </w:r>
            <w:r w:rsidRPr="003B5862">
              <w:rPr>
                <w:rFonts w:ascii="Times New Roman" w:hAnsi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-15 дней со дня  получения заявки;</w:t>
            </w:r>
          </w:p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-в случае  отсутствия сведений  (документов) 30 дней с даты  получения недостающих сведений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-</w:t>
            </w:r>
            <w:r w:rsidRPr="003B5862">
              <w:rPr>
                <w:rFonts w:ascii="Times New Roman" w:hAnsi="Times New Roman"/>
              </w:rPr>
              <w:t xml:space="preserve"> не позднее 3 рабочих дней со дня  согласования с системным оператором техусловий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2.2</w:t>
            </w:r>
            <w:r w:rsidRPr="003B5862">
              <w:rPr>
                <w:rFonts w:ascii="Times New Roman" w:hAnsi="Times New Roman"/>
                <w:lang w:eastAsia="ru-RU"/>
              </w:rPr>
              <w:t>. П</w:t>
            </w:r>
            <w:r w:rsidRPr="003B5862">
              <w:rPr>
                <w:rFonts w:ascii="Times New Roman" w:hAnsi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30 дней со  дня получения заявителем проекта договора.</w:t>
            </w:r>
          </w:p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В случае ненаправления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 xml:space="preserve">2.3 </w:t>
            </w:r>
            <w:r w:rsidRPr="003B5862">
              <w:rPr>
                <w:rFonts w:ascii="Times New Roman" w:hAnsi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2.4</w:t>
            </w:r>
            <w:r w:rsidRPr="003B5862">
              <w:rPr>
                <w:rFonts w:ascii="Times New Roman" w:hAnsi="Times New Roman"/>
                <w:lang w:eastAsia="ru-RU"/>
              </w:rPr>
              <w:t>. </w:t>
            </w:r>
            <w:r w:rsidRPr="003B5862">
              <w:rPr>
                <w:rFonts w:ascii="Times New Roman" w:hAnsi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письменной или электронной форме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3.1</w:t>
            </w:r>
            <w:r w:rsidRPr="003B5862">
              <w:rPr>
                <w:rFonts w:ascii="Times New Roman" w:hAnsi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3.2</w:t>
            </w:r>
            <w:r w:rsidRPr="003B5862">
              <w:rPr>
                <w:rFonts w:ascii="Times New Roman" w:hAnsi="Times New Roman"/>
                <w:lang w:eastAsia="ru-RU"/>
              </w:rPr>
              <w:t>. </w:t>
            </w:r>
            <w:r w:rsidRPr="003B5862">
              <w:rPr>
                <w:rFonts w:ascii="Times New Roman" w:hAnsi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3.3</w:t>
            </w:r>
            <w:r w:rsidRPr="003B5862">
              <w:rPr>
                <w:rFonts w:ascii="Times New Roman" w:hAnsi="Times New Roman"/>
                <w:lang w:eastAsia="ru-RU"/>
              </w:rPr>
              <w:t>. </w:t>
            </w:r>
            <w:r w:rsidRPr="003B5862">
              <w:rPr>
                <w:rFonts w:ascii="Times New Roman" w:hAnsi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3.4</w:t>
            </w:r>
            <w:r w:rsidRPr="003B5862">
              <w:rPr>
                <w:rFonts w:ascii="Times New Roman" w:hAnsi="Times New Roman"/>
                <w:lang w:eastAsia="ru-RU"/>
              </w:rPr>
              <w:t>.</w:t>
            </w:r>
            <w:r w:rsidRPr="003B5862">
              <w:rPr>
                <w:rFonts w:ascii="Times New Roman" w:hAnsi="Times New Roman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После выполнения технических условий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3.5</w:t>
            </w:r>
            <w:r w:rsidRPr="003B5862">
              <w:rPr>
                <w:rFonts w:ascii="Times New Roman" w:hAnsi="Times New Roman"/>
                <w:lang w:eastAsia="ru-RU"/>
              </w:rPr>
              <w:t>.Направление с</w:t>
            </w:r>
            <w:r w:rsidRPr="003B5862">
              <w:rPr>
                <w:rFonts w:ascii="Times New Roman" w:hAnsi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 xml:space="preserve">Копии уведомления заявителя с необходимым пакетом документов </w:t>
            </w:r>
            <w:r w:rsidRPr="003B5862">
              <w:rPr>
                <w:rFonts w:ascii="Times New Roman" w:hAnsi="Times New Roman"/>
                <w:lang w:eastAsia="ru-RU"/>
              </w:rPr>
              <w:t>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 w:val="restart"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774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Проверка выполнения технических условий</w:t>
            </w: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4.1.</w:t>
            </w:r>
            <w:r w:rsidRPr="003B5862">
              <w:rPr>
                <w:rFonts w:ascii="Times New Roman" w:hAnsi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Pr="003B5862">
                <w:rPr>
                  <w:rFonts w:ascii="Times New Roman" w:hAnsi="Times New Roman"/>
                </w:rPr>
                <w:t>Акт</w:t>
              </w:r>
            </w:hyperlink>
            <w:r w:rsidRPr="003B5862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4.2.</w:t>
            </w:r>
            <w:r w:rsidRPr="003B5862">
              <w:rPr>
                <w:rFonts w:ascii="Times New Roman" w:hAnsi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Согласованный Акт осмотра (обследования) электроустановки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4.3.</w:t>
            </w:r>
            <w:r w:rsidRPr="003B5862">
              <w:rPr>
                <w:rFonts w:ascii="Times New Roman" w:hAnsi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4.4.</w:t>
            </w:r>
            <w:r w:rsidRPr="003B5862">
              <w:rPr>
                <w:rFonts w:ascii="Times New Roman" w:hAnsi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Pr="003B5862">
                <w:rPr>
                  <w:rFonts w:ascii="Times New Roman" w:hAnsi="Times New Roman"/>
                </w:rPr>
                <w:t>Акт</w:t>
              </w:r>
            </w:hyperlink>
            <w:r w:rsidRPr="003B5862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4.5.</w:t>
            </w:r>
            <w:r w:rsidRPr="003B5862">
              <w:rPr>
                <w:rFonts w:ascii="Times New Roman" w:hAnsi="Times New Roman"/>
              </w:rPr>
              <w:t xml:space="preserve"> Прием в эксплуатацию прибора учета.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Pr="003B5862">
                <w:rPr>
                  <w:rFonts w:ascii="Times New Roman" w:hAnsi="Times New Roman"/>
                </w:rPr>
                <w:t>Акт</w:t>
              </w:r>
            </w:hyperlink>
            <w:r w:rsidRPr="003B5862">
              <w:rPr>
                <w:rFonts w:ascii="Times New Roman" w:hAnsi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день проведения проверки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lang w:eastAsia="ru-RU"/>
              </w:rPr>
              <w:t>Раздел Х</w:t>
            </w:r>
            <w:r w:rsidRPr="003B5862">
              <w:rPr>
                <w:rFonts w:ascii="Times New Roman" w:hAnsi="Times New Roman"/>
              </w:rPr>
              <w:t xml:space="preserve"> </w:t>
            </w:r>
            <w:r w:rsidRPr="003B5862">
              <w:rPr>
                <w:rFonts w:ascii="Times New Roman" w:hAnsi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3B5862">
              <w:rPr>
                <w:rStyle w:val="FootnoteReference"/>
                <w:rFonts w:ascii="Times New Roman" w:hAnsi="Times New Roman"/>
                <w:lang w:eastAsia="ru-RU"/>
              </w:rPr>
              <w:footnoteReference w:id="2"/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862">
              <w:rPr>
                <w:rFonts w:ascii="Times New Roman" w:hAnsi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4.6.</w:t>
            </w:r>
            <w:r w:rsidRPr="003B5862">
              <w:rPr>
                <w:rFonts w:ascii="Times New Roman" w:hAnsi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 xml:space="preserve">Акт о выполнении технических условий в письменной форме направляется  </w:t>
            </w:r>
            <w:r w:rsidRPr="003B5862">
              <w:rPr>
                <w:rFonts w:ascii="Times New Roman" w:hAnsi="Times New Roman"/>
                <w:lang w:eastAsia="ru-RU"/>
              </w:rPr>
              <w:t>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3-дневный срок после проведения осмотра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 xml:space="preserve">4.7. </w:t>
            </w:r>
            <w:r w:rsidRPr="003B5862">
              <w:rPr>
                <w:rFonts w:ascii="Times New Roman" w:hAnsi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3B5862">
              <w:rPr>
                <w:rFonts w:ascii="Times New Roman" w:hAnsi="Times New Roman"/>
                <w:lang w:eastAsia="ru-RU"/>
              </w:rPr>
              <w:t>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2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5.1</w:t>
            </w:r>
            <w:r w:rsidRPr="003B5862">
              <w:rPr>
                <w:rFonts w:ascii="Times New Roman" w:hAnsi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270"/>
        </w:trPr>
        <w:tc>
          <w:tcPr>
            <w:tcW w:w="167" w:type="pct"/>
            <w:vMerge/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5.2.</w:t>
            </w:r>
            <w:r w:rsidRPr="003B5862">
              <w:rPr>
                <w:rFonts w:ascii="Times New Roman" w:hAnsi="Times New Roman"/>
              </w:rPr>
              <w:t xml:space="preserve"> Оформление сетевой организации и направление (выдача) заявителю: 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Акта об осуществлении технологического присоединения;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Акта разграничения границ балансовой принадлежности сторон;</w:t>
            </w:r>
          </w:p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3B5862">
              <w:rPr>
                <w:rFonts w:ascii="Times New Roman" w:hAnsi="Times New Roman"/>
                <w:lang w:eastAsia="ru-RU"/>
              </w:rPr>
              <w:t>способом</w:t>
            </w:r>
            <w:r w:rsidRPr="003B5862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429" w:rsidRPr="003B5862" w:rsidTr="00121F9E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  <w:b/>
                <w:bCs/>
                <w:lang w:eastAsia="ru-RU"/>
              </w:rPr>
              <w:t>5.3.</w:t>
            </w:r>
            <w:r w:rsidRPr="003B5862">
              <w:rPr>
                <w:rFonts w:ascii="Times New Roman" w:hAnsi="Times New Roman"/>
              </w:rPr>
              <w:t xml:space="preserve"> Направление сетевой организацией подписанных с  заявителем актов  в энергосбытовую организацию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327429" w:rsidRPr="003B5862" w:rsidRDefault="00327429" w:rsidP="00121F9E">
            <w:pPr>
              <w:spacing w:after="0" w:line="240" w:lineRule="auto"/>
              <w:rPr>
                <w:rFonts w:ascii="Times New Roman" w:hAnsi="Times New Roman"/>
              </w:rPr>
            </w:pPr>
            <w:r w:rsidRPr="003B5862">
              <w:rPr>
                <w:rFonts w:ascii="Times New Roman" w:hAnsi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327429" w:rsidRPr="003B5862" w:rsidRDefault="00327429" w:rsidP="00D679FC">
      <w:pPr>
        <w:spacing w:after="60" w:line="240" w:lineRule="auto"/>
        <w:jc w:val="both"/>
        <w:outlineLvl w:val="0"/>
        <w:rPr>
          <w:rFonts w:ascii="Times New Roman" w:hAnsi="Times New Roman"/>
          <w:b/>
        </w:rPr>
      </w:pPr>
    </w:p>
    <w:p w:rsidR="00327429" w:rsidRPr="003B5862" w:rsidRDefault="00327429" w:rsidP="003B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5862">
        <w:rPr>
          <w:rFonts w:ascii="Times New Roman" w:hAnsi="Times New Roman"/>
          <w:b/>
        </w:rPr>
        <w:t>КОНТАКТНАЯ ИНФОРМАЦИЯ ДЛЯ НАПРАВЛЕНИЯ ОБРАЩЕНИИЙ:</w:t>
      </w:r>
      <w:r w:rsidRPr="003B5862">
        <w:rPr>
          <w:rFonts w:ascii="Times New Roman" w:hAnsi="Times New Roman"/>
        </w:rPr>
        <w:t xml:space="preserve"> </w:t>
      </w:r>
    </w:p>
    <w:p w:rsidR="00327429" w:rsidRPr="003B5862" w:rsidRDefault="00327429" w:rsidP="003B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7429" w:rsidRPr="003B5862" w:rsidRDefault="00327429" w:rsidP="003B5862">
      <w:pPr>
        <w:jc w:val="center"/>
        <w:rPr>
          <w:rFonts w:ascii="Times New Roman" w:hAnsi="Times New Roman"/>
          <w:b/>
        </w:rPr>
      </w:pPr>
      <w:r w:rsidRPr="003B5862">
        <w:rPr>
          <w:rFonts w:ascii="Times New Roman" w:hAnsi="Times New Roman"/>
          <w:b/>
        </w:rPr>
        <w:t>телефон: 8-846-228-22-17;</w:t>
      </w:r>
    </w:p>
    <w:p w:rsidR="00327429" w:rsidRPr="003B5862" w:rsidRDefault="00327429" w:rsidP="003B5862">
      <w:pPr>
        <w:rPr>
          <w:rFonts w:ascii="Times New Roman" w:hAnsi="Times New Roman"/>
          <w:b/>
        </w:rPr>
      </w:pPr>
      <w:r w:rsidRPr="003B5862">
        <w:rPr>
          <w:rFonts w:ascii="Times New Roman" w:hAnsi="Times New Roman"/>
          <w:b/>
        </w:rPr>
        <w:t xml:space="preserve">                                                                               е-</w:t>
      </w:r>
      <w:r w:rsidRPr="003B5862">
        <w:rPr>
          <w:rFonts w:ascii="Times New Roman" w:hAnsi="Times New Roman"/>
          <w:b/>
          <w:lang w:val="en-US"/>
        </w:rPr>
        <w:t>mail</w:t>
      </w:r>
      <w:r w:rsidRPr="003B5862">
        <w:rPr>
          <w:rFonts w:ascii="Times New Roman" w:hAnsi="Times New Roman"/>
          <w:b/>
        </w:rPr>
        <w:t xml:space="preserve">: </w:t>
      </w:r>
      <w:r w:rsidRPr="003B5862">
        <w:rPr>
          <w:rFonts w:ascii="Times New Roman" w:hAnsi="Times New Roman"/>
          <w:b/>
          <w:lang w:val="en-US"/>
        </w:rPr>
        <w:t>dimeev</w:t>
      </w:r>
      <w:r w:rsidRPr="003B5862">
        <w:rPr>
          <w:rFonts w:ascii="Times New Roman" w:hAnsi="Times New Roman"/>
          <w:b/>
        </w:rPr>
        <w:t>@</w:t>
      </w:r>
      <w:r w:rsidRPr="003B5862">
        <w:rPr>
          <w:rFonts w:ascii="Times New Roman" w:hAnsi="Times New Roman"/>
          <w:b/>
          <w:lang w:val="en-US"/>
        </w:rPr>
        <w:t>samaracable</w:t>
      </w:r>
      <w:r w:rsidRPr="003B5862">
        <w:rPr>
          <w:rFonts w:ascii="Times New Roman" w:hAnsi="Times New Roman"/>
          <w:b/>
        </w:rPr>
        <w:t>.</w:t>
      </w:r>
      <w:r w:rsidRPr="003B5862">
        <w:rPr>
          <w:rFonts w:ascii="Times New Roman" w:hAnsi="Times New Roman"/>
          <w:b/>
          <w:lang w:val="en-US"/>
        </w:rPr>
        <w:t>ru</w:t>
      </w:r>
    </w:p>
    <w:p w:rsidR="00327429" w:rsidRPr="005E4974" w:rsidRDefault="00327429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27429" w:rsidRPr="005E497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29" w:rsidRDefault="00327429" w:rsidP="00DC7CA8">
      <w:pPr>
        <w:spacing w:after="0" w:line="240" w:lineRule="auto"/>
      </w:pPr>
      <w:r>
        <w:separator/>
      </w:r>
    </w:p>
  </w:endnote>
  <w:endnote w:type="continuationSeparator" w:id="0">
    <w:p w:rsidR="00327429" w:rsidRDefault="0032742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29" w:rsidRDefault="00327429" w:rsidP="00DC7CA8">
      <w:pPr>
        <w:spacing w:after="0" w:line="240" w:lineRule="auto"/>
      </w:pPr>
      <w:r>
        <w:separator/>
      </w:r>
    </w:p>
  </w:footnote>
  <w:footnote w:type="continuationSeparator" w:id="0">
    <w:p w:rsidR="00327429" w:rsidRDefault="00327429" w:rsidP="00DC7CA8">
      <w:pPr>
        <w:spacing w:after="0" w:line="240" w:lineRule="auto"/>
      </w:pPr>
      <w:r>
        <w:continuationSeparator/>
      </w:r>
    </w:p>
  </w:footnote>
  <w:footnote w:id="1">
    <w:p w:rsidR="00327429" w:rsidRDefault="00327429" w:rsidP="0027621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C4978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327429" w:rsidRDefault="00327429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C8718B">
        <w:rPr>
          <w:rFonts w:ascii="Times New Roman" w:hAnsi="Times New Roman"/>
          <w:sz w:val="24"/>
          <w:szCs w:val="24"/>
          <w:lang w:eastAsia="ru-RU"/>
        </w:rPr>
        <w:t>Основ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C8718B">
        <w:rPr>
          <w:rFonts w:ascii="Times New Roman" w:hAnsi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hAnsi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00CC2"/>
    <w:rsid w:val="00010F87"/>
    <w:rsid w:val="00022F24"/>
    <w:rsid w:val="0002340B"/>
    <w:rsid w:val="0002598C"/>
    <w:rsid w:val="00026177"/>
    <w:rsid w:val="00034930"/>
    <w:rsid w:val="00040C4F"/>
    <w:rsid w:val="000653F9"/>
    <w:rsid w:val="0007146B"/>
    <w:rsid w:val="000825BA"/>
    <w:rsid w:val="000C2731"/>
    <w:rsid w:val="000C3C93"/>
    <w:rsid w:val="000D0D64"/>
    <w:rsid w:val="000E710C"/>
    <w:rsid w:val="00121F9E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743BE"/>
    <w:rsid w:val="00276213"/>
    <w:rsid w:val="0029622E"/>
    <w:rsid w:val="002963F2"/>
    <w:rsid w:val="002978AF"/>
    <w:rsid w:val="002A16A3"/>
    <w:rsid w:val="002A3BA1"/>
    <w:rsid w:val="002A4954"/>
    <w:rsid w:val="002A5552"/>
    <w:rsid w:val="002C24EC"/>
    <w:rsid w:val="002C3F37"/>
    <w:rsid w:val="002C56E2"/>
    <w:rsid w:val="0032200A"/>
    <w:rsid w:val="0032230E"/>
    <w:rsid w:val="00324041"/>
    <w:rsid w:val="00326913"/>
    <w:rsid w:val="00327429"/>
    <w:rsid w:val="00347A15"/>
    <w:rsid w:val="00366A29"/>
    <w:rsid w:val="0037161F"/>
    <w:rsid w:val="003A6292"/>
    <w:rsid w:val="003B555E"/>
    <w:rsid w:val="003B5862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A4D60"/>
    <w:rsid w:val="004B0BFE"/>
    <w:rsid w:val="004B75E4"/>
    <w:rsid w:val="004D2FC8"/>
    <w:rsid w:val="004F68F4"/>
    <w:rsid w:val="0051045A"/>
    <w:rsid w:val="0051352D"/>
    <w:rsid w:val="00523463"/>
    <w:rsid w:val="00524428"/>
    <w:rsid w:val="00534E9A"/>
    <w:rsid w:val="0054414B"/>
    <w:rsid w:val="00557796"/>
    <w:rsid w:val="0058149F"/>
    <w:rsid w:val="00584BD8"/>
    <w:rsid w:val="005B627E"/>
    <w:rsid w:val="005C22A7"/>
    <w:rsid w:val="005E4974"/>
    <w:rsid w:val="005E5AAE"/>
    <w:rsid w:val="005E615E"/>
    <w:rsid w:val="005F2F3E"/>
    <w:rsid w:val="005F7254"/>
    <w:rsid w:val="006003D4"/>
    <w:rsid w:val="00603CF2"/>
    <w:rsid w:val="006047AA"/>
    <w:rsid w:val="00614532"/>
    <w:rsid w:val="00620C3D"/>
    <w:rsid w:val="00640439"/>
    <w:rsid w:val="00650FC9"/>
    <w:rsid w:val="0065173C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D2EDE"/>
    <w:rsid w:val="006E11C6"/>
    <w:rsid w:val="006E41A4"/>
    <w:rsid w:val="006F2514"/>
    <w:rsid w:val="006F446F"/>
    <w:rsid w:val="0070128B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63174"/>
    <w:rsid w:val="0086326F"/>
    <w:rsid w:val="00872538"/>
    <w:rsid w:val="008C2E25"/>
    <w:rsid w:val="008C64E4"/>
    <w:rsid w:val="008D2E8D"/>
    <w:rsid w:val="008E16CB"/>
    <w:rsid w:val="009001F4"/>
    <w:rsid w:val="00904E58"/>
    <w:rsid w:val="00970993"/>
    <w:rsid w:val="00996EEC"/>
    <w:rsid w:val="009D7322"/>
    <w:rsid w:val="00A22C5F"/>
    <w:rsid w:val="00A27B25"/>
    <w:rsid w:val="00A44E14"/>
    <w:rsid w:val="00A45444"/>
    <w:rsid w:val="00A474DD"/>
    <w:rsid w:val="00A61E75"/>
    <w:rsid w:val="00A705D8"/>
    <w:rsid w:val="00A947AF"/>
    <w:rsid w:val="00AE08E3"/>
    <w:rsid w:val="00AF67C0"/>
    <w:rsid w:val="00B04094"/>
    <w:rsid w:val="00B062AF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7174A"/>
    <w:rsid w:val="00C74D96"/>
    <w:rsid w:val="00C75E65"/>
    <w:rsid w:val="00C8718B"/>
    <w:rsid w:val="00CA183B"/>
    <w:rsid w:val="00CA1E91"/>
    <w:rsid w:val="00CB26FA"/>
    <w:rsid w:val="00CC1A0A"/>
    <w:rsid w:val="00CC211B"/>
    <w:rsid w:val="00CC4978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B69AA"/>
    <w:rsid w:val="00DC03DD"/>
    <w:rsid w:val="00DC7CA8"/>
    <w:rsid w:val="00E01206"/>
    <w:rsid w:val="00E20DAF"/>
    <w:rsid w:val="00E26ED3"/>
    <w:rsid w:val="00E36F56"/>
    <w:rsid w:val="00E46A2F"/>
    <w:rsid w:val="00E5056E"/>
    <w:rsid w:val="00E53D9B"/>
    <w:rsid w:val="00E557B2"/>
    <w:rsid w:val="00E70070"/>
    <w:rsid w:val="00E70F7F"/>
    <w:rsid w:val="00EA53BE"/>
    <w:rsid w:val="00EB4034"/>
    <w:rsid w:val="00EC6F80"/>
    <w:rsid w:val="00ED42E7"/>
    <w:rsid w:val="00EE2C63"/>
    <w:rsid w:val="00F0733C"/>
    <w:rsid w:val="00F30DAA"/>
    <w:rsid w:val="00F4184B"/>
    <w:rsid w:val="00F4469B"/>
    <w:rsid w:val="00F52550"/>
    <w:rsid w:val="00F87578"/>
    <w:rsid w:val="00FA6398"/>
    <w:rsid w:val="00FC139B"/>
    <w:rsid w:val="00FC1E5A"/>
    <w:rsid w:val="00FC33E3"/>
    <w:rsid w:val="00FE0A69"/>
    <w:rsid w:val="00FF1355"/>
    <w:rsid w:val="00FF289F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МРСК_таблица_текст"/>
    <w:basedOn w:val="Normal"/>
    <w:uiPriority w:val="99"/>
    <w:rsid w:val="0040345C"/>
    <w:pPr>
      <w:keepNext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00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04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6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2147</Words>
  <Characters>12239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2</cp:revision>
  <cp:lastPrinted>2014-08-01T10:40:00Z</cp:lastPrinted>
  <dcterms:created xsi:type="dcterms:W3CDTF">2017-11-20T06:14:00Z</dcterms:created>
  <dcterms:modified xsi:type="dcterms:W3CDTF">2017-11-20T06:14:00Z</dcterms:modified>
</cp:coreProperties>
</file>